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66" w:rsidRPr="00551148" w:rsidRDefault="00B50066" w:rsidP="00B50066">
      <w:pPr>
        <w:rPr>
          <w:rFonts w:ascii="Verdana" w:hAnsi="Verdana" w:cs="Verdana"/>
          <w:b/>
          <w:sz w:val="28"/>
          <w:szCs w:val="22"/>
        </w:rPr>
      </w:pPr>
      <w:r>
        <w:rPr>
          <w:rFonts w:ascii="Verdana" w:hAnsi="Verdana" w:cs="Verdana"/>
          <w:b/>
          <w:sz w:val="28"/>
          <w:szCs w:val="22"/>
        </w:rPr>
        <w:t xml:space="preserve">Bijlage </w:t>
      </w:r>
      <w:r w:rsidRPr="00551148">
        <w:rPr>
          <w:rFonts w:ascii="Verdana" w:hAnsi="Verdana" w:cs="Verdana"/>
          <w:b/>
          <w:sz w:val="28"/>
          <w:szCs w:val="22"/>
        </w:rPr>
        <w:t>Programma</w:t>
      </w:r>
      <w:r>
        <w:rPr>
          <w:rFonts w:ascii="Verdana" w:hAnsi="Verdana" w:cs="Verdana"/>
          <w:b/>
          <w:sz w:val="28"/>
          <w:szCs w:val="22"/>
        </w:rPr>
        <w:t xml:space="preserve"> Nascholing Veelvoorkomende beoordelingen in bezwaar</w:t>
      </w:r>
    </w:p>
    <w:p w:rsidR="00B50066" w:rsidRDefault="00B50066" w:rsidP="00B50066">
      <w:pPr>
        <w:rPr>
          <w:rFonts w:ascii="Verdana" w:hAnsi="Verdana" w:cs="Verdana"/>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54"/>
      </w:tblGrid>
      <w:tr w:rsidR="00B50066" w:rsidTr="00E8292A">
        <w:tc>
          <w:tcPr>
            <w:tcW w:w="2093" w:type="dxa"/>
          </w:tcPr>
          <w:p w:rsidR="00B50066" w:rsidRPr="003969B4" w:rsidRDefault="00B50066" w:rsidP="00E8292A">
            <w:pPr>
              <w:rPr>
                <w:rFonts w:ascii="Verdana" w:hAnsi="Verdana" w:cs="Verdana"/>
              </w:rPr>
            </w:pPr>
            <w:r w:rsidRPr="003969B4">
              <w:rPr>
                <w:rFonts w:ascii="Verdana" w:hAnsi="Verdana" w:cs="Verdana"/>
                <w:sz w:val="22"/>
                <w:szCs w:val="22"/>
              </w:rPr>
              <w:t>09.30-</w:t>
            </w:r>
            <w:r>
              <w:rPr>
                <w:rFonts w:ascii="Verdana" w:hAnsi="Verdana" w:cs="Verdana"/>
                <w:sz w:val="22"/>
                <w:szCs w:val="22"/>
              </w:rPr>
              <w:t>09.3</w:t>
            </w:r>
            <w:r w:rsidRPr="003969B4">
              <w:rPr>
                <w:rFonts w:ascii="Verdana" w:hAnsi="Verdana" w:cs="Verdana"/>
                <w:sz w:val="22"/>
                <w:szCs w:val="22"/>
              </w:rPr>
              <w:t>5</w:t>
            </w:r>
          </w:p>
        </w:tc>
        <w:tc>
          <w:tcPr>
            <w:tcW w:w="7654" w:type="dxa"/>
          </w:tcPr>
          <w:p w:rsidR="00B50066" w:rsidRPr="003969B4" w:rsidRDefault="00B50066" w:rsidP="00E8292A">
            <w:pPr>
              <w:rPr>
                <w:rFonts w:ascii="Verdana" w:hAnsi="Verdana" w:cs="Verdana"/>
              </w:rPr>
            </w:pPr>
            <w:r>
              <w:rPr>
                <w:rFonts w:ascii="Verdana" w:hAnsi="Verdana" w:cs="Verdana"/>
                <w:sz w:val="22"/>
                <w:szCs w:val="22"/>
              </w:rPr>
              <w:t>Welkom</w:t>
            </w:r>
            <w:r w:rsidRPr="003969B4">
              <w:rPr>
                <w:rFonts w:ascii="Verdana" w:hAnsi="Verdana" w:cs="Verdana"/>
                <w:sz w:val="22"/>
                <w:szCs w:val="22"/>
              </w:rPr>
              <w:t>, toelichting op het programma</w:t>
            </w:r>
            <w:r>
              <w:rPr>
                <w:rFonts w:ascii="Verdana" w:hAnsi="Verdana" w:cs="Verdana"/>
                <w:sz w:val="22"/>
                <w:szCs w:val="22"/>
              </w:rPr>
              <w:t xml:space="preserve"> van de dag</w:t>
            </w:r>
          </w:p>
        </w:tc>
      </w:tr>
      <w:tr w:rsidR="00B50066" w:rsidTr="00E8292A">
        <w:tc>
          <w:tcPr>
            <w:tcW w:w="2093" w:type="dxa"/>
          </w:tcPr>
          <w:p w:rsidR="00B50066" w:rsidRPr="003969B4" w:rsidRDefault="00B50066" w:rsidP="00E8292A">
            <w:pPr>
              <w:rPr>
                <w:rFonts w:ascii="Verdana" w:hAnsi="Verdana" w:cs="Verdana"/>
              </w:rPr>
            </w:pPr>
            <w:r>
              <w:rPr>
                <w:rFonts w:ascii="Verdana" w:hAnsi="Verdana" w:cs="Verdana"/>
                <w:sz w:val="22"/>
                <w:szCs w:val="22"/>
              </w:rPr>
              <w:t>09.35-10.15</w:t>
            </w:r>
          </w:p>
        </w:tc>
        <w:tc>
          <w:tcPr>
            <w:tcW w:w="7654" w:type="dxa"/>
          </w:tcPr>
          <w:p w:rsidR="00B50066" w:rsidRPr="003969B4" w:rsidRDefault="00B50066" w:rsidP="00E8292A">
            <w:pPr>
              <w:rPr>
                <w:rFonts w:ascii="Verdana" w:hAnsi="Verdana" w:cs="Verdana"/>
              </w:rPr>
            </w:pPr>
            <w:r>
              <w:rPr>
                <w:rFonts w:ascii="Verdana" w:hAnsi="Verdana" w:cs="Verdana"/>
                <w:sz w:val="22"/>
                <w:szCs w:val="22"/>
              </w:rPr>
              <w:t>Kennismaking en inleiding</w:t>
            </w:r>
          </w:p>
        </w:tc>
      </w:tr>
      <w:tr w:rsidR="00B50066" w:rsidTr="00E8292A">
        <w:tc>
          <w:tcPr>
            <w:tcW w:w="2093" w:type="dxa"/>
          </w:tcPr>
          <w:p w:rsidR="00B50066" w:rsidRPr="003969B4" w:rsidRDefault="00B50066" w:rsidP="00E8292A">
            <w:pPr>
              <w:rPr>
                <w:rFonts w:ascii="Verdana" w:hAnsi="Verdana" w:cs="Verdana"/>
              </w:rPr>
            </w:pPr>
            <w:r>
              <w:rPr>
                <w:rFonts w:ascii="Verdana" w:hAnsi="Verdana" w:cs="Verdana"/>
                <w:sz w:val="22"/>
                <w:szCs w:val="22"/>
              </w:rPr>
              <w:t>10.15-11.00</w:t>
            </w:r>
          </w:p>
        </w:tc>
        <w:tc>
          <w:tcPr>
            <w:tcW w:w="7654" w:type="dxa"/>
          </w:tcPr>
          <w:p w:rsidR="00B50066" w:rsidRPr="003969B4" w:rsidRDefault="00B50066" w:rsidP="00E8292A">
            <w:pPr>
              <w:rPr>
                <w:rFonts w:ascii="Verdana" w:hAnsi="Verdana" w:cs="Verdana"/>
              </w:rPr>
            </w:pPr>
            <w:r>
              <w:rPr>
                <w:rFonts w:ascii="Verdana" w:hAnsi="Verdana" w:cs="Verdana"/>
                <w:sz w:val="22"/>
                <w:szCs w:val="22"/>
              </w:rPr>
              <w:t>IVA, begrip duurzaamheid, casuïstiek</w:t>
            </w:r>
          </w:p>
        </w:tc>
      </w:tr>
      <w:tr w:rsidR="00B50066" w:rsidTr="00E8292A">
        <w:tc>
          <w:tcPr>
            <w:tcW w:w="2093" w:type="dxa"/>
          </w:tcPr>
          <w:p w:rsidR="00B50066" w:rsidRPr="003969B4" w:rsidRDefault="00B50066" w:rsidP="00E8292A">
            <w:pPr>
              <w:rPr>
                <w:rFonts w:ascii="Verdana" w:hAnsi="Verdana" w:cs="Verdana"/>
              </w:rPr>
            </w:pPr>
            <w:r w:rsidRPr="003969B4">
              <w:rPr>
                <w:rFonts w:ascii="Verdana" w:hAnsi="Verdana" w:cs="Verdana"/>
                <w:sz w:val="22"/>
                <w:szCs w:val="22"/>
              </w:rPr>
              <w:t>11.00-11.15</w:t>
            </w:r>
          </w:p>
        </w:tc>
        <w:tc>
          <w:tcPr>
            <w:tcW w:w="7654" w:type="dxa"/>
          </w:tcPr>
          <w:p w:rsidR="00B50066" w:rsidRPr="003969B4" w:rsidRDefault="00B50066" w:rsidP="00E8292A">
            <w:pPr>
              <w:rPr>
                <w:rFonts w:ascii="Verdana" w:hAnsi="Verdana" w:cs="Verdana"/>
              </w:rPr>
            </w:pPr>
            <w:r w:rsidRPr="003969B4">
              <w:rPr>
                <w:rFonts w:ascii="Verdana" w:hAnsi="Verdana" w:cs="Verdana"/>
                <w:sz w:val="22"/>
                <w:szCs w:val="22"/>
              </w:rPr>
              <w:t>Pauze</w:t>
            </w:r>
          </w:p>
        </w:tc>
      </w:tr>
      <w:tr w:rsidR="00B50066" w:rsidTr="00E8292A">
        <w:tc>
          <w:tcPr>
            <w:tcW w:w="2093" w:type="dxa"/>
          </w:tcPr>
          <w:p w:rsidR="00B50066" w:rsidRPr="003969B4" w:rsidRDefault="00B50066" w:rsidP="00E8292A">
            <w:pPr>
              <w:rPr>
                <w:rFonts w:ascii="Verdana" w:hAnsi="Verdana" w:cs="Verdana"/>
              </w:rPr>
            </w:pPr>
            <w:r w:rsidRPr="003969B4">
              <w:rPr>
                <w:rFonts w:ascii="Verdana" w:hAnsi="Verdana" w:cs="Verdana"/>
                <w:sz w:val="22"/>
                <w:szCs w:val="22"/>
              </w:rPr>
              <w:t>11.15-1</w:t>
            </w:r>
            <w:r>
              <w:rPr>
                <w:rFonts w:ascii="Verdana" w:hAnsi="Verdana" w:cs="Verdana"/>
                <w:sz w:val="22"/>
                <w:szCs w:val="22"/>
              </w:rPr>
              <w:t>2.15</w:t>
            </w:r>
          </w:p>
        </w:tc>
        <w:tc>
          <w:tcPr>
            <w:tcW w:w="7654" w:type="dxa"/>
          </w:tcPr>
          <w:p w:rsidR="00B50066" w:rsidRPr="003969B4" w:rsidRDefault="00B50066" w:rsidP="00E8292A">
            <w:pPr>
              <w:rPr>
                <w:rFonts w:ascii="Verdana" w:hAnsi="Verdana" w:cs="Verdana"/>
              </w:rPr>
            </w:pPr>
            <w:r>
              <w:rPr>
                <w:rFonts w:ascii="Verdana" w:hAnsi="Verdana" w:cs="Verdana"/>
                <w:sz w:val="22"/>
                <w:szCs w:val="22"/>
              </w:rPr>
              <w:t xml:space="preserve">Uitwerking casuïstiek, theorie jurisprudentie </w:t>
            </w:r>
          </w:p>
        </w:tc>
      </w:tr>
      <w:tr w:rsidR="00B50066" w:rsidTr="00E8292A">
        <w:tc>
          <w:tcPr>
            <w:tcW w:w="2093" w:type="dxa"/>
          </w:tcPr>
          <w:p w:rsidR="00B50066" w:rsidRPr="003969B4" w:rsidRDefault="00B50066" w:rsidP="00E8292A">
            <w:pPr>
              <w:rPr>
                <w:rFonts w:ascii="Verdana" w:hAnsi="Verdana" w:cs="Verdana"/>
              </w:rPr>
            </w:pPr>
            <w:r>
              <w:rPr>
                <w:rFonts w:ascii="Verdana" w:hAnsi="Verdana" w:cs="Verdana"/>
                <w:sz w:val="22"/>
                <w:szCs w:val="22"/>
              </w:rPr>
              <w:t>12.15-12.45</w:t>
            </w:r>
          </w:p>
        </w:tc>
        <w:tc>
          <w:tcPr>
            <w:tcW w:w="7654" w:type="dxa"/>
          </w:tcPr>
          <w:p w:rsidR="00B50066" w:rsidRPr="003969B4" w:rsidRDefault="00B50066" w:rsidP="00E8292A">
            <w:pPr>
              <w:rPr>
                <w:rFonts w:ascii="Verdana" w:hAnsi="Verdana" w:cs="Verdana"/>
              </w:rPr>
            </w:pPr>
            <w:r>
              <w:rPr>
                <w:rFonts w:ascii="Verdana" w:hAnsi="Verdana" w:cs="Verdana"/>
                <w:sz w:val="22"/>
                <w:szCs w:val="22"/>
              </w:rPr>
              <w:t>Medisch beroepsgeheim</w:t>
            </w:r>
          </w:p>
        </w:tc>
      </w:tr>
      <w:tr w:rsidR="00B50066" w:rsidTr="00E8292A">
        <w:tc>
          <w:tcPr>
            <w:tcW w:w="2093" w:type="dxa"/>
          </w:tcPr>
          <w:p w:rsidR="00B50066" w:rsidRPr="003969B4" w:rsidRDefault="00B50066" w:rsidP="00E8292A">
            <w:pPr>
              <w:rPr>
                <w:rFonts w:ascii="Verdana" w:hAnsi="Verdana" w:cs="Verdana"/>
              </w:rPr>
            </w:pPr>
            <w:r>
              <w:rPr>
                <w:rFonts w:ascii="Verdana" w:hAnsi="Verdana" w:cs="Verdana"/>
                <w:sz w:val="22"/>
                <w:szCs w:val="22"/>
              </w:rPr>
              <w:t>12.45</w:t>
            </w:r>
            <w:r w:rsidRPr="003969B4">
              <w:rPr>
                <w:rFonts w:ascii="Verdana" w:hAnsi="Verdana" w:cs="Verdana"/>
                <w:sz w:val="22"/>
                <w:szCs w:val="22"/>
              </w:rPr>
              <w:t>-1</w:t>
            </w:r>
            <w:r>
              <w:rPr>
                <w:rFonts w:ascii="Verdana" w:hAnsi="Verdana" w:cs="Verdana"/>
                <w:sz w:val="22"/>
                <w:szCs w:val="22"/>
              </w:rPr>
              <w:t>3.30</w:t>
            </w:r>
          </w:p>
        </w:tc>
        <w:tc>
          <w:tcPr>
            <w:tcW w:w="7654" w:type="dxa"/>
          </w:tcPr>
          <w:p w:rsidR="00B50066" w:rsidRPr="003969B4" w:rsidRDefault="00B50066" w:rsidP="00E8292A">
            <w:pPr>
              <w:rPr>
                <w:rFonts w:ascii="Verdana" w:hAnsi="Verdana" w:cs="Verdana"/>
              </w:rPr>
            </w:pPr>
            <w:r>
              <w:rPr>
                <w:rFonts w:ascii="Verdana" w:hAnsi="Verdana" w:cs="Verdana"/>
                <w:sz w:val="22"/>
                <w:szCs w:val="22"/>
              </w:rPr>
              <w:t>lunchpauze</w:t>
            </w:r>
          </w:p>
        </w:tc>
      </w:tr>
      <w:tr w:rsidR="00B50066" w:rsidTr="00E8292A">
        <w:tc>
          <w:tcPr>
            <w:tcW w:w="2093" w:type="dxa"/>
          </w:tcPr>
          <w:p w:rsidR="00B50066" w:rsidRPr="00551148" w:rsidRDefault="00B50066" w:rsidP="00E8292A">
            <w:pPr>
              <w:rPr>
                <w:rFonts w:ascii="Verdana" w:hAnsi="Verdana" w:cs="Verdana"/>
              </w:rPr>
            </w:pPr>
            <w:r w:rsidRPr="00551148">
              <w:rPr>
                <w:rFonts w:ascii="Verdana" w:hAnsi="Verdana" w:cs="Verdana"/>
                <w:sz w:val="22"/>
                <w:szCs w:val="22"/>
              </w:rPr>
              <w:t>13.30-1</w:t>
            </w:r>
            <w:r>
              <w:rPr>
                <w:rFonts w:ascii="Verdana" w:hAnsi="Verdana" w:cs="Verdana"/>
                <w:sz w:val="22"/>
                <w:szCs w:val="22"/>
              </w:rPr>
              <w:t>5.00</w:t>
            </w:r>
          </w:p>
        </w:tc>
        <w:tc>
          <w:tcPr>
            <w:tcW w:w="7654" w:type="dxa"/>
          </w:tcPr>
          <w:p w:rsidR="00B50066" w:rsidRPr="003969B4" w:rsidRDefault="00B50066" w:rsidP="00E8292A">
            <w:pPr>
              <w:rPr>
                <w:rFonts w:ascii="Verdana" w:hAnsi="Verdana" w:cs="Verdana"/>
              </w:rPr>
            </w:pPr>
            <w:r w:rsidRPr="00C864CB">
              <w:rPr>
                <w:rFonts w:ascii="Verdana" w:hAnsi="Verdana"/>
                <w:sz w:val="22"/>
                <w:szCs w:val="22"/>
              </w:rPr>
              <w:t>Ziektewet: arbeidsongeschiktheid &amp; zwangerschap en bevalling</w:t>
            </w:r>
          </w:p>
        </w:tc>
      </w:tr>
      <w:tr w:rsidR="00B50066" w:rsidTr="00E8292A">
        <w:tc>
          <w:tcPr>
            <w:tcW w:w="2093" w:type="dxa"/>
          </w:tcPr>
          <w:p w:rsidR="00B50066" w:rsidRPr="00551148" w:rsidRDefault="00B50066" w:rsidP="00E8292A">
            <w:pPr>
              <w:rPr>
                <w:rFonts w:ascii="Verdana" w:hAnsi="Verdana" w:cs="Verdana"/>
                <w:sz w:val="22"/>
                <w:szCs w:val="22"/>
              </w:rPr>
            </w:pPr>
            <w:r>
              <w:rPr>
                <w:rFonts w:ascii="Verdana" w:hAnsi="Verdana" w:cs="Verdana"/>
                <w:sz w:val="22"/>
                <w:szCs w:val="22"/>
              </w:rPr>
              <w:t>15.00-15.15</w:t>
            </w:r>
          </w:p>
        </w:tc>
        <w:tc>
          <w:tcPr>
            <w:tcW w:w="7654" w:type="dxa"/>
          </w:tcPr>
          <w:p w:rsidR="00B50066" w:rsidRPr="00C864CB" w:rsidRDefault="00B50066" w:rsidP="00E8292A">
            <w:pPr>
              <w:rPr>
                <w:rFonts w:ascii="Verdana" w:hAnsi="Verdana"/>
                <w:sz w:val="22"/>
                <w:szCs w:val="22"/>
              </w:rPr>
            </w:pPr>
            <w:r>
              <w:rPr>
                <w:rFonts w:ascii="Verdana" w:hAnsi="Verdana"/>
                <w:sz w:val="22"/>
                <w:szCs w:val="22"/>
              </w:rPr>
              <w:t>Pauze</w:t>
            </w:r>
          </w:p>
        </w:tc>
      </w:tr>
      <w:tr w:rsidR="00B50066" w:rsidTr="00E8292A">
        <w:tc>
          <w:tcPr>
            <w:tcW w:w="2093" w:type="dxa"/>
          </w:tcPr>
          <w:p w:rsidR="00B50066" w:rsidRDefault="00B50066" w:rsidP="00E8292A">
            <w:pPr>
              <w:rPr>
                <w:rFonts w:ascii="Verdana" w:hAnsi="Verdana" w:cs="Verdana"/>
                <w:sz w:val="22"/>
                <w:szCs w:val="22"/>
              </w:rPr>
            </w:pPr>
            <w:r>
              <w:rPr>
                <w:rFonts w:ascii="Verdana" w:hAnsi="Verdana" w:cs="Verdana"/>
                <w:sz w:val="22"/>
                <w:szCs w:val="22"/>
              </w:rPr>
              <w:t>15.15-16.40</w:t>
            </w:r>
          </w:p>
        </w:tc>
        <w:tc>
          <w:tcPr>
            <w:tcW w:w="7654" w:type="dxa"/>
          </w:tcPr>
          <w:p w:rsidR="00B50066" w:rsidRDefault="00B50066" w:rsidP="00E8292A">
            <w:pPr>
              <w:rPr>
                <w:rFonts w:ascii="Verdana" w:hAnsi="Verdana"/>
                <w:sz w:val="22"/>
                <w:szCs w:val="22"/>
              </w:rPr>
            </w:pPr>
            <w:r>
              <w:rPr>
                <w:rFonts w:ascii="Verdana" w:hAnsi="Verdana"/>
                <w:sz w:val="22"/>
                <w:szCs w:val="22"/>
              </w:rPr>
              <w:t>Ziektewet: zijn arbeid</w:t>
            </w:r>
          </w:p>
        </w:tc>
      </w:tr>
      <w:tr w:rsidR="00B50066" w:rsidTr="00E8292A">
        <w:tc>
          <w:tcPr>
            <w:tcW w:w="2093" w:type="dxa"/>
          </w:tcPr>
          <w:p w:rsidR="00B50066" w:rsidRDefault="00B50066" w:rsidP="00E8292A">
            <w:pPr>
              <w:rPr>
                <w:rFonts w:ascii="Verdana" w:hAnsi="Verdana" w:cs="Verdana"/>
                <w:sz w:val="22"/>
                <w:szCs w:val="22"/>
              </w:rPr>
            </w:pPr>
            <w:r>
              <w:rPr>
                <w:rFonts w:ascii="Verdana" w:hAnsi="Verdana" w:cs="Verdana"/>
                <w:sz w:val="22"/>
                <w:szCs w:val="22"/>
              </w:rPr>
              <w:t>16.40-16.45</w:t>
            </w:r>
          </w:p>
        </w:tc>
        <w:tc>
          <w:tcPr>
            <w:tcW w:w="7654" w:type="dxa"/>
          </w:tcPr>
          <w:p w:rsidR="00B50066" w:rsidRDefault="00B50066" w:rsidP="00E8292A">
            <w:pPr>
              <w:rPr>
                <w:rFonts w:ascii="Verdana" w:hAnsi="Verdana"/>
                <w:sz w:val="22"/>
                <w:szCs w:val="22"/>
              </w:rPr>
            </w:pPr>
            <w:r>
              <w:rPr>
                <w:rFonts w:ascii="Verdana" w:hAnsi="Verdana"/>
                <w:sz w:val="22"/>
                <w:szCs w:val="22"/>
              </w:rPr>
              <w:t>Evaluatie en afsluiting</w:t>
            </w:r>
          </w:p>
        </w:tc>
      </w:tr>
    </w:tbl>
    <w:p w:rsidR="00B50066" w:rsidRPr="00A91394" w:rsidRDefault="00B50066" w:rsidP="00B50066">
      <w:pPr>
        <w:rPr>
          <w:rFonts w:ascii="Verdana" w:hAnsi="Verdana"/>
          <w:sz w:val="22"/>
          <w:szCs w:val="22"/>
        </w:rPr>
      </w:pPr>
      <w:r w:rsidRPr="00A91394">
        <w:rPr>
          <w:rFonts w:ascii="Verdana" w:hAnsi="Verdana"/>
          <w:sz w:val="22"/>
          <w:szCs w:val="22"/>
        </w:rPr>
        <w:t xml:space="preserve"> </w:t>
      </w:r>
    </w:p>
    <w:p w:rsidR="00B50066" w:rsidRPr="00AF28FB" w:rsidRDefault="00B50066" w:rsidP="00B50066">
      <w:pPr>
        <w:rPr>
          <w:b/>
        </w:rPr>
      </w:pPr>
      <w:r w:rsidRPr="00AF28FB">
        <w:rPr>
          <w:b/>
        </w:rPr>
        <w:t>Waar gaat de dag over?</w:t>
      </w:r>
    </w:p>
    <w:p w:rsidR="00B50066" w:rsidRDefault="00B50066" w:rsidP="00B50066">
      <w:r>
        <w:t>Op deze dag worden onderwerpen besproken die vaak voor komen bij bezwaarzaken, waar men in het algemeen ook wel wat van weet, maar waarbij het in deze nascholingsdag gaat om de details die van belang zijn in de bezwaarfase. Juist in bezwaar en beroep gaat het om details en is kennis nodig van de regels en jurisprudentie om de zaken goed te kunnen doen. Het gaat om het combineren van theorie, praktijk, en jurisprudentie. Bij deze onderwerpen is er ook sprake van duidelijke jurisprudentie. Daarbij is ook de attitude van belang van de VA B&amp;B bij de uitvoering van deze bezwaren.</w:t>
      </w:r>
    </w:p>
    <w:p w:rsidR="00B50066" w:rsidRDefault="00B50066" w:rsidP="00B50066"/>
    <w:p w:rsidR="00B50066" w:rsidRPr="00AF28FB" w:rsidRDefault="00B50066" w:rsidP="00B50066">
      <w:pPr>
        <w:rPr>
          <w:b/>
        </w:rPr>
      </w:pPr>
      <w:r w:rsidRPr="00AF28FB">
        <w:rPr>
          <w:b/>
        </w:rPr>
        <w:t xml:space="preserve">Voorbereiding: </w:t>
      </w:r>
    </w:p>
    <w:p w:rsidR="00B50066" w:rsidRDefault="00B50066" w:rsidP="00B50066">
      <w:r>
        <w:t xml:space="preserve">Meebrengen of vooraf insturen van </w:t>
      </w:r>
      <w:r w:rsidRPr="006C4990">
        <w:t>casuïstiek</w:t>
      </w:r>
      <w:r>
        <w:t xml:space="preserve"> of vragen over genoemde onderwerpen. De dag wordt gegeven aan de hand van </w:t>
      </w:r>
      <w:r w:rsidRPr="006C4990">
        <w:t>casuïstiek</w:t>
      </w:r>
      <w:r>
        <w:t xml:space="preserve"> toegespitst op de diverse knelpunten. </w:t>
      </w:r>
    </w:p>
    <w:p w:rsidR="00B50066" w:rsidRDefault="00B50066" w:rsidP="00B50066"/>
    <w:p w:rsidR="00B50066" w:rsidRPr="00AF28FB" w:rsidRDefault="00B50066" w:rsidP="00B50066">
      <w:pPr>
        <w:rPr>
          <w:b/>
        </w:rPr>
      </w:pPr>
      <w:r>
        <w:rPr>
          <w:b/>
        </w:rPr>
        <w:t>Uitwerk</w:t>
      </w:r>
      <w:r w:rsidRPr="00AF28FB">
        <w:rPr>
          <w:b/>
        </w:rPr>
        <w:t>ing:</w:t>
      </w:r>
    </w:p>
    <w:p w:rsidR="00B50066" w:rsidRDefault="00B50066" w:rsidP="00B50066">
      <w:r>
        <w:t xml:space="preserve">Per onderwerp zijn een aantal casusposities gemaakt (ongeveer 5-10 per onderwerpen) die gaan over de punten waar meestal bezwaar over is. De cursisten maken deze korte casussen in twee- of drietallen. Daarna worden de antwoorden plenair besproken en ontstaat er of wordt discussie bevordert. Als afsluiting wordt de theorie nog kort samengevat met hulp van sheets. Indien aan de orde wordt de ingebrachte </w:t>
      </w:r>
      <w:r w:rsidRPr="006C4990">
        <w:t>casuïstiek</w:t>
      </w:r>
      <w:r>
        <w:t xml:space="preserve"> / vragen van de cursist bij het betreffende onderwerp besproken. </w:t>
      </w:r>
    </w:p>
    <w:p w:rsidR="00B50066" w:rsidRDefault="00B50066" w:rsidP="00B50066">
      <w:r>
        <w:t>De werkvorm is op deze manier activerend.</w:t>
      </w:r>
    </w:p>
    <w:p w:rsidR="00B50066" w:rsidRDefault="00B50066" w:rsidP="00B50066"/>
    <w:p w:rsidR="00B50066" w:rsidRPr="00EF071D" w:rsidRDefault="00B50066" w:rsidP="00B50066">
      <w:pPr>
        <w:rPr>
          <w:b/>
        </w:rPr>
      </w:pPr>
      <w:r w:rsidRPr="00EF071D">
        <w:rPr>
          <w:b/>
        </w:rPr>
        <w:t>Docent:</w:t>
      </w:r>
    </w:p>
    <w:p w:rsidR="00B50066" w:rsidRPr="00FC36AD" w:rsidRDefault="00B50066" w:rsidP="00B50066">
      <w:r>
        <w:t>P.M. Cramer, verzekeringsarts B&amp;B, In dienst bij UWV en voorlopers sinds 1987 en bij bezwaar sinds 1997. Zeer ervaren va B&amp;B. Daarnaast docent bij UWV B&amp;B Leren en Ontwikkelen en de NSPOH. Was bij de NSPOH ook opleider. Docentschappen sinds 1996.</w:t>
      </w:r>
    </w:p>
    <w:p w:rsidR="00B50066" w:rsidRPr="00E113FB" w:rsidRDefault="00B50066" w:rsidP="00B50066">
      <w:pPr>
        <w:rPr>
          <w:rFonts w:ascii="Verdana" w:hAnsi="Verdana"/>
          <w:color w:val="FF0000"/>
          <w:sz w:val="22"/>
        </w:rPr>
      </w:pPr>
    </w:p>
    <w:p w:rsidR="001B12B0" w:rsidRPr="00B50066" w:rsidRDefault="001B12B0" w:rsidP="00B50066">
      <w:bookmarkStart w:id="0" w:name="_GoBack"/>
      <w:bookmarkEnd w:id="0"/>
    </w:p>
    <w:sectPr w:rsidR="001B12B0" w:rsidRPr="00B50066" w:rsidSect="001B1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AD"/>
    <w:rsid w:val="000215B0"/>
    <w:rsid w:val="0004474C"/>
    <w:rsid w:val="000B2E22"/>
    <w:rsid w:val="00132B34"/>
    <w:rsid w:val="001B12B0"/>
    <w:rsid w:val="002076BA"/>
    <w:rsid w:val="00240007"/>
    <w:rsid w:val="00246379"/>
    <w:rsid w:val="003B222D"/>
    <w:rsid w:val="003E0BF2"/>
    <w:rsid w:val="003F0838"/>
    <w:rsid w:val="003F4370"/>
    <w:rsid w:val="00420E3E"/>
    <w:rsid w:val="00565836"/>
    <w:rsid w:val="005979CD"/>
    <w:rsid w:val="005A150A"/>
    <w:rsid w:val="005A391E"/>
    <w:rsid w:val="005E43FD"/>
    <w:rsid w:val="006E766C"/>
    <w:rsid w:val="007359DF"/>
    <w:rsid w:val="008828A4"/>
    <w:rsid w:val="008F726F"/>
    <w:rsid w:val="009A6914"/>
    <w:rsid w:val="00A51F58"/>
    <w:rsid w:val="00AC4C3D"/>
    <w:rsid w:val="00AD1BA0"/>
    <w:rsid w:val="00B50066"/>
    <w:rsid w:val="00C12AC5"/>
    <w:rsid w:val="00C159B7"/>
    <w:rsid w:val="00CE4E54"/>
    <w:rsid w:val="00CF2DFD"/>
    <w:rsid w:val="00D16A75"/>
    <w:rsid w:val="00D8240D"/>
    <w:rsid w:val="00F55983"/>
    <w:rsid w:val="00F91E55"/>
    <w:rsid w:val="00FB52A3"/>
    <w:rsid w:val="00FC3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7E2A9-91F1-4C0B-9940-9E6BF6F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36A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327E7AE0.dotm</Template>
  <TotalTime>0</TotalTime>
  <Pages>1</Pages>
  <Words>325</Words>
  <Characters>1788</Characters>
  <Application>Microsoft Office Word</Application>
  <DocSecurity>0</DocSecurity>
  <Lines>14</Lines>
  <Paragraphs>4</Paragraphs>
  <ScaleCrop>false</ScaleCrop>
  <Company>UWV</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 Paul (P.)</dc:creator>
  <cp:lastModifiedBy>Kemperink, Linda (L.)</cp:lastModifiedBy>
  <cp:revision>2</cp:revision>
  <dcterms:created xsi:type="dcterms:W3CDTF">2018-06-25T12:22:00Z</dcterms:created>
  <dcterms:modified xsi:type="dcterms:W3CDTF">2019-11-07T12:08:00Z</dcterms:modified>
</cp:coreProperties>
</file>